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Subtitle"/>
        <w:spacing w:after="120" w:before="240" w:lineRule="auto"/>
        <w:ind w:left="720" w:firstLine="0"/>
        <w:contextualSpacing w:val="0"/>
        <w:rPr/>
      </w:pPr>
      <w:r w:rsidDel="00000000" w:rsidR="00000000" w:rsidRPr="00000000">
        <w:rPr>
          <w:b w:val="0"/>
          <w:i w:val="0"/>
          <w:sz w:val="36"/>
          <w:szCs w:val="36"/>
          <w:rtl w:val="0"/>
        </w:rPr>
        <w:t xml:space="preserve">ANEXO IV - PREVISÃO DO ATENDIMENTO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0"/>
        <w:rPr>
          <w:rFonts w:ascii="arial" w:cs="arial" w:eastAsia="arial" w:hAnsi="arial"/>
          <w:b w:val="1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PRAZO PARA EXECUÇÃO DA DEMANDA DE INFRAESTRUTURA:</w:t>
      </w:r>
    </w:p>
    <w:p w:rsidR="00000000" w:rsidDel="00000000" w:rsidP="00000000" w:rsidRDefault="00000000" w:rsidRPr="00000000">
      <w:pPr>
        <w:widowControl w:val="1"/>
        <w:spacing w:line="276" w:lineRule="auto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line="276" w:lineRule="auto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65"/>
        <w:gridCol w:w="1080"/>
        <w:gridCol w:w="2535"/>
        <w:gridCol w:w="1125"/>
        <w:gridCol w:w="105"/>
        <w:gridCol w:w="1455"/>
        <w:gridCol w:w="1785"/>
        <w:tblGridChange w:id="0">
          <w:tblGrid>
            <w:gridCol w:w="1365"/>
            <w:gridCol w:w="1080"/>
            <w:gridCol w:w="2535"/>
            <w:gridCol w:w="1125"/>
            <w:gridCol w:w="105"/>
            <w:gridCol w:w="1455"/>
            <w:gridCol w:w="1785"/>
          </w:tblGrid>
        </w:tblGridChange>
      </w:tblGrid>
      <w:tr>
        <w:trPr>
          <w:trHeight w:val="12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Categoria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Serviço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Descrição dos serviços envolvidos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Prazo </w:t>
              <w:tab/>
              <w:t xml:space="preserve">Máximo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18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  <w:t xml:space="preserve">Instalação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  <w:tab/>
              <w:t xml:space="preserve">Ponto de rede estruturado interno ou externo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Lançamento de cabo desde o patch panel até o local de destino do ponto de rede, fixação de infraestrutura, conectorização, identificação, instalação de patch cords e certificação do ponto de rede.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Até 5 pontos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 6 a 20 pontos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Mais de 20 pontos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500" w:hRule="atLeast"/>
        </w:trPr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Negociável, porém limitado a 30 dias corridos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8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Manutenção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Ponto de rede estruturado interno ou externo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Um ou mais dos seguintes serviços: substituição de infra de ponto de rede com lançamento de novo cabo desde o patch panel até o local de destino do ponto de rede, substituição de infraestrutura, conectorização, identificação, instalação ou substituição de patch cords e certificação do ponto de rede.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Até 5 pontos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 6 a 20 pontos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Mais de 20 pontos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340" w:hRule="atLeast"/>
        </w:trPr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22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Instalação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Link ótico interno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Lançamento de cabo entre armários, fixação de canaletas e ou calhas, fusão, identificação, instalação de cordão ótico e certificação; instalação de bracket, fixação de ativos.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Até 30 metros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Acima de 30 e até 100 metros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Mais de 100 metros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2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12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Negociável, porém limitado a 20 dias corridos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48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Instalação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Link ótico externo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Lançamento de cabo entre armários localizados em diferentes prédios, com infraestrutura aérea ou subterrânea, fusão, identificação, instalação de cordão ótico e certificação; instalação de bracket, fixação de ativos.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Até 100 metros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Acima de 100 e até 500 metros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6a6a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Mais de 500 metros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2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25 dias úteis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Negociável, porém limitado a 60 dias corridos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4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Manutenção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Link ótico interno e externo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Manutenção de links óticos internos ou externos, incluindo fusão, identificação, instalação de caixa de emenda ótica e certificação.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 dia corrido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Documentação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As-built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Confecção ou atualização de as-built.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 dias úteis por prancha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  <w:tr>
        <w:trPr>
          <w:trHeight w:val="12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Instalação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Eletrocalhas e Perfilados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Acréscimo de prazo para serviços que demandarem instalação de eletrocalhas, perfilados e acessórios.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 dias corridos</w:t>
            </w:r>
          </w:p>
          <w:p w:rsidR="00000000" w:rsidDel="00000000" w:rsidP="00000000" w:rsidRDefault="00000000" w:rsidRPr="00000000">
            <w:pPr>
              <w:widowControl w:val="1"/>
              <w:spacing w:line="276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  <w:tab/>
              <w:tab/>
            </w:r>
          </w:p>
        </w:tc>
      </w:tr>
    </w:tbl>
    <w:p w:rsidR="00000000" w:rsidDel="00000000" w:rsidP="00000000" w:rsidRDefault="00000000" w:rsidRPr="00000000">
      <w:pPr>
        <w:widowControl w:val="1"/>
        <w:spacing w:line="276" w:lineRule="auto"/>
        <w:contextualSpacing w:val="0"/>
        <w:jc w:val="both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0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PRAZO PARA EXECUÇÃO DE CORREÇÕES</w:t>
      </w: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br w:type="textWrapping"/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60" w:lineRule="auto"/>
        <w:ind w:left="1080" w:hanging="360"/>
        <w:contextualSpacing w:val="0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Havendo necessidade de correções nos projetos e nos serviços prestados, será concedido um prazo de 05 (cinco) dias úteis a partir de comunicação formal do contratante.</w:t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"/>
  <w:font w:name="Liberation San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contextualSpacing w:val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576" w:right="0" w:hanging="576"/>
      <w:contextualSpacing w:val="0"/>
      <w:jc w:val="left"/>
    </w:pPr>
    <w:rPr>
      <w:rFonts w:ascii="Liberation Sans" w:cs="Liberation Sans" w:eastAsia="Liberation Sans" w:hAnsi="Liberation Sans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720" w:right="0" w:hanging="720"/>
      <w:contextualSpacing w:val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contextualSpacing w:val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contextualSpacing w:val="0"/>
      <w:jc w:val="center"/>
    </w:pPr>
    <w:rPr>
      <w:rFonts w:ascii="Liberation Sans" w:cs="Liberation Sans" w:eastAsia="Liberation Sans" w:hAnsi="Liberation Sans"/>
      <w:b w:val="0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